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473D" w14:textId="15938993" w:rsidR="0058557E" w:rsidRDefault="00B728BE" w:rsidP="00B728BE">
      <w:r>
        <w:rPr>
          <w:noProof/>
        </w:rPr>
        <w:drawing>
          <wp:anchor distT="0" distB="0" distL="114300" distR="114300" simplePos="0" relativeHeight="251658240" behindDoc="1" locked="0" layoutInCell="1" allowOverlap="1" wp14:anchorId="7FC61BCE" wp14:editId="2233763C">
            <wp:simplePos x="0" y="0"/>
            <wp:positionH relativeFrom="column">
              <wp:posOffset>3299460</wp:posOffset>
            </wp:positionH>
            <wp:positionV relativeFrom="paragraph">
              <wp:posOffset>0</wp:posOffset>
            </wp:positionV>
            <wp:extent cx="236220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426" y="21130"/>
                <wp:lineTo x="21426" y="0"/>
                <wp:lineTo x="0" y="0"/>
              </wp:wrapPolygon>
            </wp:wrapTight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BDF9D9" wp14:editId="1DF14C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80970" cy="1134110"/>
            <wp:effectExtent l="0" t="0" r="0" b="0"/>
            <wp:wrapTight wrapText="bothSides">
              <wp:wrapPolygon edited="0">
                <wp:start x="2763" y="1814"/>
                <wp:lineTo x="767" y="7619"/>
                <wp:lineTo x="767" y="9071"/>
                <wp:lineTo x="2456" y="14150"/>
                <wp:lineTo x="1074" y="17053"/>
                <wp:lineTo x="767" y="18141"/>
                <wp:lineTo x="767" y="19955"/>
                <wp:lineTo x="20106" y="19955"/>
                <wp:lineTo x="20106" y="14150"/>
                <wp:lineTo x="19492" y="3265"/>
                <wp:lineTo x="17497" y="2540"/>
                <wp:lineTo x="4297" y="1814"/>
                <wp:lineTo x="2763" y="1814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9C8A4" w14:textId="77777777" w:rsidR="00B728BE" w:rsidRDefault="00B728BE" w:rsidP="00B728BE"/>
    <w:p w14:paraId="2F2B497B" w14:textId="77777777" w:rsidR="00B728BE" w:rsidRDefault="00B728BE" w:rsidP="00257D27">
      <w:pPr>
        <w:jc w:val="center"/>
        <w:rPr>
          <w:b/>
          <w:bCs/>
        </w:rPr>
      </w:pPr>
    </w:p>
    <w:p w14:paraId="0D96D04C" w14:textId="77777777" w:rsidR="00B728BE" w:rsidRDefault="00B728BE" w:rsidP="00257D27">
      <w:pPr>
        <w:jc w:val="center"/>
        <w:rPr>
          <w:b/>
          <w:bCs/>
        </w:rPr>
      </w:pPr>
    </w:p>
    <w:p w14:paraId="6AE1452F" w14:textId="00D994AA" w:rsidR="00B728BE" w:rsidRDefault="00B728BE" w:rsidP="00E92292">
      <w:pPr>
        <w:rPr>
          <w:b/>
          <w:bCs/>
        </w:rPr>
      </w:pPr>
    </w:p>
    <w:p w14:paraId="3628E71F" w14:textId="77777777" w:rsidR="00E92292" w:rsidRDefault="00E92292" w:rsidP="00E92292">
      <w:pPr>
        <w:rPr>
          <w:b/>
          <w:bCs/>
        </w:rPr>
      </w:pPr>
    </w:p>
    <w:p w14:paraId="0AA08ADF" w14:textId="6D2CCDD5" w:rsidR="00257D27" w:rsidRPr="00E92292" w:rsidRDefault="00257D27" w:rsidP="00257D27">
      <w:pPr>
        <w:jc w:val="center"/>
        <w:rPr>
          <w:b/>
          <w:bCs/>
          <w:sz w:val="32"/>
          <w:szCs w:val="32"/>
        </w:rPr>
      </w:pPr>
      <w:r w:rsidRPr="00E92292">
        <w:rPr>
          <w:b/>
          <w:bCs/>
          <w:sz w:val="32"/>
          <w:szCs w:val="32"/>
        </w:rPr>
        <w:t xml:space="preserve">PRA FORECOURT ROADSHOWS – </w:t>
      </w:r>
      <w:r w:rsidR="00160A34" w:rsidRPr="00E92292">
        <w:rPr>
          <w:b/>
          <w:bCs/>
          <w:sz w:val="32"/>
          <w:szCs w:val="32"/>
        </w:rPr>
        <w:t>TERMS &amp; CONDITIONS</w:t>
      </w:r>
    </w:p>
    <w:p w14:paraId="63DE5041" w14:textId="77777777" w:rsidR="00257D27" w:rsidRPr="00257D27" w:rsidRDefault="00257D27" w:rsidP="00257D27">
      <w:pPr>
        <w:jc w:val="center"/>
        <w:rPr>
          <w:b/>
          <w:bCs/>
        </w:rPr>
      </w:pPr>
    </w:p>
    <w:p w14:paraId="0B620785" w14:textId="41267163" w:rsidR="002F1E97" w:rsidRPr="00E92292" w:rsidRDefault="002F1E97" w:rsidP="00257D27">
      <w:pPr>
        <w:jc w:val="both"/>
        <w:rPr>
          <w:sz w:val="23"/>
          <w:szCs w:val="23"/>
        </w:rPr>
      </w:pPr>
      <w:r w:rsidRPr="00E92292">
        <w:rPr>
          <w:sz w:val="23"/>
          <w:szCs w:val="23"/>
        </w:rPr>
        <w:t>The Petrol Retailers Association (the PRA) acknowledge that in return for the payment of the agreed fee paid</w:t>
      </w:r>
      <w:r w:rsidR="00160A34" w:rsidRPr="00E92292">
        <w:rPr>
          <w:sz w:val="23"/>
          <w:szCs w:val="23"/>
        </w:rPr>
        <w:t xml:space="preserve"> </w:t>
      </w:r>
      <w:r w:rsidRPr="00E92292">
        <w:rPr>
          <w:sz w:val="23"/>
          <w:szCs w:val="23"/>
        </w:rPr>
        <w:t>by the Exhibitor for attendance at The Forecourt Roadshow</w:t>
      </w:r>
      <w:r w:rsidR="00160A34" w:rsidRPr="00E92292">
        <w:rPr>
          <w:sz w:val="23"/>
          <w:szCs w:val="23"/>
        </w:rPr>
        <w:t>s</w:t>
      </w:r>
      <w:r w:rsidR="00DC417C" w:rsidRPr="00E92292">
        <w:rPr>
          <w:sz w:val="23"/>
          <w:szCs w:val="23"/>
        </w:rPr>
        <w:t xml:space="preserve"> </w:t>
      </w:r>
      <w:r w:rsidR="00160A34" w:rsidRPr="00E92292">
        <w:rPr>
          <w:sz w:val="23"/>
          <w:szCs w:val="23"/>
        </w:rPr>
        <w:t>events in 2023 th</w:t>
      </w:r>
      <w:r w:rsidRPr="00E92292">
        <w:rPr>
          <w:sz w:val="23"/>
          <w:szCs w:val="23"/>
        </w:rPr>
        <w:t>e PRA agree to provide the Exhibitor with:</w:t>
      </w:r>
    </w:p>
    <w:p w14:paraId="637A6353" w14:textId="638B79F5" w:rsidR="002F1E97" w:rsidRPr="00E92292" w:rsidRDefault="00580335" w:rsidP="00257D27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E92292">
        <w:rPr>
          <w:sz w:val="23"/>
          <w:szCs w:val="23"/>
        </w:rPr>
        <w:t>A s</w:t>
      </w:r>
      <w:r w:rsidR="00160A34" w:rsidRPr="00E92292">
        <w:rPr>
          <w:sz w:val="23"/>
          <w:szCs w:val="23"/>
        </w:rPr>
        <w:t xml:space="preserve">tand size no bigger than 3 x 2 metres </w:t>
      </w:r>
      <w:r w:rsidRPr="00E92292">
        <w:rPr>
          <w:sz w:val="23"/>
          <w:szCs w:val="23"/>
        </w:rPr>
        <w:t>(unless agreed prior to event),</w:t>
      </w:r>
    </w:p>
    <w:p w14:paraId="72429CC1" w14:textId="4042D72F" w:rsidR="00DC417C" w:rsidRPr="00E92292" w:rsidRDefault="00160A34" w:rsidP="00257D27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E92292">
        <w:rPr>
          <w:sz w:val="23"/>
          <w:szCs w:val="23"/>
        </w:rPr>
        <w:t xml:space="preserve">The ability to advertise your business within the allocated stand </w:t>
      </w:r>
      <w:r w:rsidR="00580335" w:rsidRPr="00E92292">
        <w:rPr>
          <w:sz w:val="23"/>
          <w:szCs w:val="23"/>
        </w:rPr>
        <w:t>space,</w:t>
      </w:r>
    </w:p>
    <w:p w14:paraId="5681F3B7" w14:textId="5F45F51F" w:rsidR="002F1E97" w:rsidRPr="00E92292" w:rsidRDefault="00160A34" w:rsidP="00257D27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E92292">
        <w:rPr>
          <w:sz w:val="23"/>
          <w:szCs w:val="23"/>
        </w:rPr>
        <w:t>E</w:t>
      </w:r>
      <w:r w:rsidR="002F1E97" w:rsidRPr="00E92292">
        <w:rPr>
          <w:sz w:val="23"/>
          <w:szCs w:val="23"/>
        </w:rPr>
        <w:t>ntry for Exhibitor representative</w:t>
      </w:r>
      <w:r w:rsidR="00DC417C" w:rsidRPr="00E92292">
        <w:rPr>
          <w:sz w:val="23"/>
          <w:szCs w:val="23"/>
        </w:rPr>
        <w:t>s</w:t>
      </w:r>
      <w:r w:rsidR="00580335" w:rsidRPr="00E92292">
        <w:rPr>
          <w:sz w:val="23"/>
          <w:szCs w:val="23"/>
        </w:rPr>
        <w:t>,</w:t>
      </w:r>
    </w:p>
    <w:p w14:paraId="02D0BE50" w14:textId="19D9984E" w:rsidR="00DC417C" w:rsidRPr="00E92292" w:rsidRDefault="00160A34" w:rsidP="00257D27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E92292">
        <w:rPr>
          <w:sz w:val="23"/>
          <w:szCs w:val="23"/>
        </w:rPr>
        <w:t>C</w:t>
      </w:r>
      <w:r w:rsidR="00DC417C" w:rsidRPr="00E92292">
        <w:rPr>
          <w:sz w:val="23"/>
          <w:szCs w:val="23"/>
        </w:rPr>
        <w:t>atering provision</w:t>
      </w:r>
      <w:r w:rsidRPr="00E92292">
        <w:rPr>
          <w:sz w:val="23"/>
          <w:szCs w:val="23"/>
        </w:rPr>
        <w:t xml:space="preserve">s of lunch and tea/coffee </w:t>
      </w:r>
      <w:r w:rsidR="00DC417C" w:rsidRPr="00E92292">
        <w:rPr>
          <w:sz w:val="23"/>
          <w:szCs w:val="23"/>
        </w:rPr>
        <w:t>for all Exhibitor representatives</w:t>
      </w:r>
      <w:r w:rsidRPr="00E92292">
        <w:rPr>
          <w:sz w:val="23"/>
          <w:szCs w:val="23"/>
        </w:rPr>
        <w:t xml:space="preserve"> on the event day</w:t>
      </w:r>
      <w:r w:rsidR="00580335" w:rsidRPr="00E92292">
        <w:rPr>
          <w:sz w:val="23"/>
          <w:szCs w:val="23"/>
        </w:rPr>
        <w:t>,</w:t>
      </w:r>
    </w:p>
    <w:p w14:paraId="4FE0E8C2" w14:textId="4BB4AD58" w:rsidR="00DC417C" w:rsidRPr="00E92292" w:rsidRDefault="00160A34" w:rsidP="00257D27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E92292">
        <w:rPr>
          <w:sz w:val="23"/>
          <w:szCs w:val="23"/>
        </w:rPr>
        <w:t>R</w:t>
      </w:r>
      <w:r w:rsidR="00DC417C" w:rsidRPr="00E92292">
        <w:rPr>
          <w:sz w:val="23"/>
          <w:szCs w:val="23"/>
        </w:rPr>
        <w:t>ight to promote the Exhibitor business to Roadshow attendees</w:t>
      </w:r>
      <w:r w:rsidR="00580335" w:rsidRPr="00E92292">
        <w:rPr>
          <w:sz w:val="23"/>
          <w:szCs w:val="23"/>
        </w:rPr>
        <w:t>,</w:t>
      </w:r>
    </w:p>
    <w:p w14:paraId="5805D69C" w14:textId="6D6AEDF8" w:rsidR="00DC417C" w:rsidRPr="00E92292" w:rsidRDefault="00160A34" w:rsidP="00257D27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E92292">
        <w:rPr>
          <w:sz w:val="23"/>
          <w:szCs w:val="23"/>
        </w:rPr>
        <w:t>A</w:t>
      </w:r>
      <w:r w:rsidR="00DC417C" w:rsidRPr="00E92292">
        <w:rPr>
          <w:sz w:val="23"/>
          <w:szCs w:val="23"/>
        </w:rPr>
        <w:t xml:space="preserve">ccess to the venue </w:t>
      </w:r>
      <w:r w:rsidRPr="00E92292">
        <w:rPr>
          <w:sz w:val="23"/>
          <w:szCs w:val="23"/>
        </w:rPr>
        <w:t>as per build up instructions supplied in advance of the event to facilitate set up</w:t>
      </w:r>
      <w:r w:rsidR="00580335" w:rsidRPr="00E92292">
        <w:rPr>
          <w:sz w:val="23"/>
          <w:szCs w:val="23"/>
        </w:rPr>
        <w:t>,</w:t>
      </w:r>
    </w:p>
    <w:p w14:paraId="1F880537" w14:textId="3A383D9A" w:rsidR="00050BC9" w:rsidRPr="00E92292" w:rsidRDefault="00050BC9" w:rsidP="00257D27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E92292">
        <w:rPr>
          <w:sz w:val="23"/>
          <w:szCs w:val="23"/>
        </w:rPr>
        <w:t>Post event</w:t>
      </w:r>
      <w:r w:rsidR="00580335" w:rsidRPr="00E92292">
        <w:rPr>
          <w:sz w:val="23"/>
          <w:szCs w:val="23"/>
        </w:rPr>
        <w:t>,</w:t>
      </w:r>
      <w:r w:rsidRPr="00E92292">
        <w:rPr>
          <w:sz w:val="23"/>
          <w:szCs w:val="23"/>
        </w:rPr>
        <w:t xml:space="preserve"> a list of attendees within 7 working days</w:t>
      </w:r>
      <w:r w:rsidR="00580335" w:rsidRPr="00E92292">
        <w:rPr>
          <w:sz w:val="23"/>
          <w:szCs w:val="23"/>
        </w:rPr>
        <w:t>.</w:t>
      </w:r>
    </w:p>
    <w:p w14:paraId="1A15494D" w14:textId="34C85A48" w:rsidR="00DC417C" w:rsidRPr="00E92292" w:rsidRDefault="00DC417C" w:rsidP="00050BC9">
      <w:pPr>
        <w:pStyle w:val="ListParagraph"/>
        <w:jc w:val="both"/>
        <w:rPr>
          <w:sz w:val="8"/>
          <w:szCs w:val="8"/>
        </w:rPr>
      </w:pPr>
    </w:p>
    <w:p w14:paraId="2F964D86" w14:textId="61FE054F" w:rsidR="00DC417C" w:rsidRPr="00E92292" w:rsidRDefault="00DC417C" w:rsidP="00257D27">
      <w:pPr>
        <w:jc w:val="both"/>
        <w:rPr>
          <w:sz w:val="23"/>
          <w:szCs w:val="23"/>
        </w:rPr>
      </w:pPr>
      <w:r w:rsidRPr="00E92292">
        <w:rPr>
          <w:sz w:val="23"/>
          <w:szCs w:val="23"/>
        </w:rPr>
        <w:t>In return the Exhibitor agrees to:</w:t>
      </w:r>
    </w:p>
    <w:p w14:paraId="1E454CE1" w14:textId="3FEC8274" w:rsidR="00DC417C" w:rsidRPr="00E92292" w:rsidRDefault="00580335" w:rsidP="00257D27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E92292">
        <w:rPr>
          <w:sz w:val="23"/>
          <w:szCs w:val="23"/>
        </w:rPr>
        <w:t>I</w:t>
      </w:r>
      <w:r w:rsidR="00DC417C" w:rsidRPr="00E92292">
        <w:rPr>
          <w:sz w:val="23"/>
          <w:szCs w:val="23"/>
        </w:rPr>
        <w:t>nform the PRA of details of the Exhibitor representative no less than 24 hours prior to the start of the Roadshow</w:t>
      </w:r>
      <w:r w:rsidRPr="00E92292">
        <w:rPr>
          <w:sz w:val="23"/>
          <w:szCs w:val="23"/>
        </w:rPr>
        <w:t>,</w:t>
      </w:r>
    </w:p>
    <w:p w14:paraId="1C3BF25C" w14:textId="7E28EB4B" w:rsidR="0045500B" w:rsidRPr="00E92292" w:rsidRDefault="0045500B" w:rsidP="00257D27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E92292">
        <w:rPr>
          <w:sz w:val="23"/>
          <w:szCs w:val="23"/>
        </w:rPr>
        <w:t>Undertake and keep in full force any policies of insurances as are necessary</w:t>
      </w:r>
      <w:r w:rsidR="00580335" w:rsidRPr="00E92292">
        <w:rPr>
          <w:sz w:val="23"/>
          <w:szCs w:val="23"/>
        </w:rPr>
        <w:t>,</w:t>
      </w:r>
    </w:p>
    <w:p w14:paraId="5F81EB86" w14:textId="24A25937" w:rsidR="00050BC9" w:rsidRPr="00E92292" w:rsidRDefault="00050BC9" w:rsidP="00257D27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E92292">
        <w:rPr>
          <w:sz w:val="23"/>
          <w:szCs w:val="23"/>
        </w:rPr>
        <w:t>Ensure equipment brought to the venue is fit for purpose and in good working order and in compliance with any relevant regulatory frameworks</w:t>
      </w:r>
      <w:r w:rsidR="00580335" w:rsidRPr="00E92292">
        <w:rPr>
          <w:sz w:val="23"/>
          <w:szCs w:val="23"/>
        </w:rPr>
        <w:t>,</w:t>
      </w:r>
    </w:p>
    <w:p w14:paraId="5E038BA5" w14:textId="5F8EE385" w:rsidR="0045500B" w:rsidRPr="00E92292" w:rsidRDefault="0045500B" w:rsidP="00257D27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E92292">
        <w:rPr>
          <w:sz w:val="23"/>
          <w:szCs w:val="23"/>
        </w:rPr>
        <w:t xml:space="preserve">Raise concerns and any complaints with a representative of the PRA within a timely manner. </w:t>
      </w:r>
    </w:p>
    <w:p w14:paraId="56B613A3" w14:textId="42842F82" w:rsidR="006E0419" w:rsidRPr="00E92292" w:rsidRDefault="006E0419" w:rsidP="0045500B">
      <w:pPr>
        <w:jc w:val="both"/>
        <w:rPr>
          <w:sz w:val="8"/>
          <w:szCs w:val="8"/>
        </w:rPr>
      </w:pPr>
    </w:p>
    <w:p w14:paraId="6696EBD4" w14:textId="5CC141A4" w:rsidR="0045500B" w:rsidRPr="00E92292" w:rsidRDefault="0045500B" w:rsidP="00257D27">
      <w:pPr>
        <w:jc w:val="both"/>
        <w:rPr>
          <w:sz w:val="23"/>
          <w:szCs w:val="23"/>
        </w:rPr>
      </w:pPr>
      <w:r w:rsidRPr="00E92292">
        <w:rPr>
          <w:sz w:val="23"/>
          <w:szCs w:val="23"/>
        </w:rPr>
        <w:t xml:space="preserve">The PRA are not liable for any loss or damage to any equipment, </w:t>
      </w:r>
      <w:proofErr w:type="gramStart"/>
      <w:r w:rsidRPr="00E92292">
        <w:rPr>
          <w:sz w:val="23"/>
          <w:szCs w:val="23"/>
        </w:rPr>
        <w:t>object</w:t>
      </w:r>
      <w:proofErr w:type="gramEnd"/>
      <w:r w:rsidRPr="00E92292">
        <w:rPr>
          <w:sz w:val="23"/>
          <w:szCs w:val="23"/>
        </w:rPr>
        <w:t xml:space="preserve"> or property which you, your sub-contractors or agents, your invitees, employees or the public or any other third party may incur or sustain.</w:t>
      </w:r>
    </w:p>
    <w:p w14:paraId="2AA0EF9F" w14:textId="6ACD71E2" w:rsidR="001C3B54" w:rsidRPr="00E92292" w:rsidRDefault="00D60032" w:rsidP="00257D27">
      <w:pPr>
        <w:jc w:val="both"/>
        <w:rPr>
          <w:sz w:val="23"/>
          <w:szCs w:val="23"/>
        </w:rPr>
      </w:pPr>
      <w:r w:rsidRPr="00E92292">
        <w:rPr>
          <w:sz w:val="23"/>
          <w:szCs w:val="23"/>
        </w:rPr>
        <w:t>Right to refunds – if the Exhib</w:t>
      </w:r>
      <w:r w:rsidR="00F543C7" w:rsidRPr="00E92292">
        <w:rPr>
          <w:sz w:val="23"/>
          <w:szCs w:val="23"/>
        </w:rPr>
        <w:t xml:space="preserve">itor provides to the PRA written notice of not less than 14 days </w:t>
      </w:r>
      <w:r w:rsidR="00235C55" w:rsidRPr="00E92292">
        <w:rPr>
          <w:sz w:val="23"/>
          <w:szCs w:val="23"/>
        </w:rPr>
        <w:t xml:space="preserve">that they wish to cancel their attendance then the Exhibitor will </w:t>
      </w:r>
      <w:r w:rsidR="00024B9D" w:rsidRPr="00E92292">
        <w:rPr>
          <w:sz w:val="23"/>
          <w:szCs w:val="23"/>
        </w:rPr>
        <w:t>at the discretion of the PRA be able to claim a refund of 50% of the fee paid</w:t>
      </w:r>
      <w:r w:rsidR="00C82B3F" w:rsidRPr="00E92292">
        <w:rPr>
          <w:sz w:val="23"/>
          <w:szCs w:val="23"/>
        </w:rPr>
        <w:t>.</w:t>
      </w:r>
    </w:p>
    <w:p w14:paraId="5714E50C" w14:textId="77777777" w:rsidR="00F4232D" w:rsidRPr="00E92292" w:rsidRDefault="001C3B54" w:rsidP="00257D27">
      <w:pPr>
        <w:jc w:val="both"/>
        <w:rPr>
          <w:sz w:val="23"/>
          <w:szCs w:val="23"/>
        </w:rPr>
      </w:pPr>
      <w:r w:rsidRPr="00E92292">
        <w:rPr>
          <w:sz w:val="23"/>
          <w:szCs w:val="23"/>
        </w:rPr>
        <w:t>Should the Exhibitor have any queries then they should add</w:t>
      </w:r>
      <w:r w:rsidR="00F4232D" w:rsidRPr="00E92292">
        <w:rPr>
          <w:sz w:val="23"/>
          <w:szCs w:val="23"/>
        </w:rPr>
        <w:t>ress these to:</w:t>
      </w:r>
    </w:p>
    <w:p w14:paraId="05AE5FC7" w14:textId="0ECEC8CE" w:rsidR="00257D27" w:rsidRPr="00E92292" w:rsidRDefault="00000000" w:rsidP="00257D27">
      <w:pPr>
        <w:jc w:val="both"/>
        <w:rPr>
          <w:sz w:val="23"/>
          <w:szCs w:val="23"/>
        </w:rPr>
      </w:pPr>
      <w:hyperlink r:id="rId7" w:history="1">
        <w:r w:rsidR="00257D27" w:rsidRPr="00E92292">
          <w:rPr>
            <w:rStyle w:val="Hyperlink"/>
            <w:sz w:val="23"/>
            <w:szCs w:val="23"/>
          </w:rPr>
          <w:t>Steve.coombe@rmif.co.uk</w:t>
        </w:r>
      </w:hyperlink>
      <w:r w:rsidR="00257D27" w:rsidRPr="00E92292">
        <w:rPr>
          <w:sz w:val="23"/>
          <w:szCs w:val="23"/>
        </w:rPr>
        <w:t xml:space="preserve">  Tel: 07831 373205</w:t>
      </w:r>
    </w:p>
    <w:sectPr w:rsidR="00257D27" w:rsidRPr="00E92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0D34"/>
    <w:multiLevelType w:val="hybridMultilevel"/>
    <w:tmpl w:val="4D8C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473D7"/>
    <w:multiLevelType w:val="hybridMultilevel"/>
    <w:tmpl w:val="7A9E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12663">
    <w:abstractNumId w:val="1"/>
  </w:num>
  <w:num w:numId="2" w16cid:durableId="183475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97"/>
    <w:rsid w:val="00024B9D"/>
    <w:rsid w:val="00050BC9"/>
    <w:rsid w:val="00066123"/>
    <w:rsid w:val="00160A34"/>
    <w:rsid w:val="001C3B54"/>
    <w:rsid w:val="00235C55"/>
    <w:rsid w:val="002360DF"/>
    <w:rsid w:val="00257D27"/>
    <w:rsid w:val="002F1E97"/>
    <w:rsid w:val="00427943"/>
    <w:rsid w:val="0045500B"/>
    <w:rsid w:val="004A7101"/>
    <w:rsid w:val="004B0EBE"/>
    <w:rsid w:val="004E55EF"/>
    <w:rsid w:val="00580335"/>
    <w:rsid w:val="0058557E"/>
    <w:rsid w:val="006E0419"/>
    <w:rsid w:val="00B728BE"/>
    <w:rsid w:val="00C82B3F"/>
    <w:rsid w:val="00D60032"/>
    <w:rsid w:val="00DC417C"/>
    <w:rsid w:val="00E92292"/>
    <w:rsid w:val="00F4232D"/>
    <w:rsid w:val="00F543C7"/>
    <w:rsid w:val="00F7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E2F9"/>
  <w15:chartTrackingRefBased/>
  <w15:docId w15:val="{5AE835B7-96E0-4901-A47F-799C14A0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E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ve.coombe@rmif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Draisey</dc:creator>
  <cp:keywords/>
  <dc:description/>
  <cp:lastModifiedBy>Clare Scawthorn</cp:lastModifiedBy>
  <cp:revision>8</cp:revision>
  <dcterms:created xsi:type="dcterms:W3CDTF">2023-02-17T15:15:00Z</dcterms:created>
  <dcterms:modified xsi:type="dcterms:W3CDTF">2023-03-08T12:22:00Z</dcterms:modified>
</cp:coreProperties>
</file>